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CE86" w14:textId="77777777" w:rsidR="008C4BEF" w:rsidRPr="008C4BEF" w:rsidRDefault="008C4BEF" w:rsidP="008C4BEF">
      <w:pPr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</w:pPr>
      <w:r w:rsidRPr="008C4BEF"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  <w:t>Índice de Desempenho da Saúde Suplementar - 2018</w:t>
      </w:r>
    </w:p>
    <w:p w14:paraId="6D71B5AE" w14:textId="02817BFB" w:rsidR="008C4BEF" w:rsidRPr="00DB4600" w:rsidRDefault="006D6527" w:rsidP="00DB4600">
      <w:pPr>
        <w:spacing w:before="300" w:after="30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B4600">
        <w:rPr>
          <w:rFonts w:eastAsia="Times New Roman" w:cstheme="minorHAnsi"/>
          <w:b/>
          <w:bCs/>
          <w:sz w:val="24"/>
          <w:szCs w:val="24"/>
          <w:lang w:eastAsia="pt-BR"/>
        </w:rPr>
        <w:t>SÃO FRANCISCO SISTEMAS DE SAÚDE</w:t>
      </w:r>
    </w:p>
    <w:p w14:paraId="3E53CD98" w14:textId="3F382078" w:rsidR="008C4BEF" w:rsidRDefault="008C4BEF" w:rsidP="008C4BEF">
      <w:pPr>
        <w:spacing w:after="420" w:line="240" w:lineRule="auto"/>
        <w:jc w:val="both"/>
        <w:rPr>
          <w:rFonts w:eastAsia="Times New Roman" w:cstheme="minorHAnsi"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O Índice de Desempenho da Saúde Suplementar (IDSS) faz parte do Programa de Qualificação de Operadoras (PQO) que é uma inciativa desenvolvida pela Agência Nacional de Saúde Suplementar (ANS) para avalição anual do desempenho das operadoras de planos de saúde. O IDSS é um índice composto por um conjunto de indicadores agrupados em quatro dimensões e é calculado com base nos dados extraídos dos sistemas de informações da Agência ou coletados nos sistemas nacionais de informação em saúde.</w:t>
      </w:r>
    </w:p>
    <w:p w14:paraId="67425F40" w14:textId="538595B9" w:rsidR="008C4BEF" w:rsidRPr="008C4BEF" w:rsidRDefault="008C4BEF" w:rsidP="00DB4600">
      <w:pPr>
        <w:spacing w:after="420" w:line="240" w:lineRule="auto"/>
        <w:jc w:val="center"/>
        <w:rPr>
          <w:rFonts w:eastAsia="Times New Roman" w:cstheme="minorHAnsi"/>
          <w:color w:val="888888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46CDBB17" wp14:editId="31FF7B7A">
            <wp:extent cx="2552728" cy="69166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5553" cy="703264"/>
                    </a:xfrm>
                    <a:prstGeom prst="rect">
                      <a:avLst/>
                    </a:prstGeom>
                    <a:pattFill prst="pct5">
                      <a:fgClr>
                        <a:schemeClr val="bg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inline>
        </w:drawing>
      </w:r>
    </w:p>
    <w:p w14:paraId="2D0983D9" w14:textId="77777777" w:rsidR="00DB4600" w:rsidRDefault="008C4BEF" w:rsidP="00DB4600">
      <w:pPr>
        <w:spacing w:after="420" w:line="240" w:lineRule="auto"/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 xml:space="preserve">Confira abaixo o desempenho do Grupo </w:t>
      </w:r>
      <w:r>
        <w:rPr>
          <w:rFonts w:eastAsia="Times New Roman" w:cstheme="minorHAnsi"/>
          <w:color w:val="4A423C"/>
          <w:sz w:val="24"/>
          <w:szCs w:val="24"/>
          <w:lang w:eastAsia="pt-BR"/>
        </w:rPr>
        <w:t>São Francisco Saúde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 xml:space="preserve"> com resultado geral e separado por dimensões:</w:t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Resultado geral do IDSS do G</w:t>
      </w:r>
      <w:r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RUPO SÃO FRANCISCO SAÚDE</w:t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 xml:space="preserve">: </w:t>
      </w:r>
      <w:r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1,000</w:t>
      </w:r>
    </w:p>
    <w:p w14:paraId="52254C3C" w14:textId="6A67D955" w:rsidR="00DB4600" w:rsidRDefault="008C4BEF" w:rsidP="00DB4600">
      <w:pPr>
        <w:spacing w:after="420" w:line="240" w:lineRule="auto"/>
        <w:jc w:val="center"/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>
        <w:rPr>
          <w:noProof/>
        </w:rPr>
        <w:drawing>
          <wp:inline distT="0" distB="0" distL="0" distR="0" wp14:anchorId="2A65EC8E" wp14:editId="2BCA2CAD">
            <wp:extent cx="1982874" cy="65649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5962" cy="67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A0233" w14:textId="2228F77D" w:rsidR="008C4BEF" w:rsidRDefault="008C4BEF" w:rsidP="00DB4600">
      <w:pPr>
        <w:spacing w:after="420" w:line="240" w:lineRule="auto"/>
        <w:jc w:val="both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1) IDQS - Qualidade Em Atenção à Saúde: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 Avaliação do conjunto de ações em saúde que contribuem para o atendimento das necessidades de saúde dos beneficiários, com ênfase nas ações de promoção, prevenção e assistência à saúde prestada.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Abaixo a nota do 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GRUPO SÃO FRANCISCO </w:t>
      </w:r>
      <w:r w:rsidR="00DB4600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SAÚDE </w:t>
      </w:r>
      <w:r w:rsidR="00DB4600"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nesta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dimensão:</w:t>
      </w:r>
    </w:p>
    <w:p w14:paraId="0386F20E" w14:textId="3C361C99" w:rsidR="008C4BEF" w:rsidRPr="008C4BEF" w:rsidRDefault="008C4BEF" w:rsidP="00DB4600">
      <w:pPr>
        <w:spacing w:after="420" w:line="240" w:lineRule="auto"/>
        <w:jc w:val="center"/>
        <w:rPr>
          <w:rFonts w:eastAsia="Times New Roman" w:cstheme="minorHAnsi"/>
          <w:color w:val="888888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02F3E15E" wp14:editId="05CC5439">
            <wp:extent cx="1953847" cy="879231"/>
            <wp:effectExtent l="0" t="0" r="889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3551" cy="90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</w:p>
    <w:p w14:paraId="79DFF638" w14:textId="77777777" w:rsidR="00DB4600" w:rsidRDefault="008C4BEF" w:rsidP="00FC4A57">
      <w:pPr>
        <w:spacing w:after="420" w:line="240" w:lineRule="auto"/>
        <w:jc w:val="both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2) IDGA - Garantia de Acesso: 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 Condições relacionadas à rede assistencial que possibilitam a garantia de acesso, abrangendo a oferta de rede de prestadores.</w:t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Abaixo a nota do GRUPO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SÃO FRANCISCO SAÚDE 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nesta dimensão: </w:t>
      </w:r>
    </w:p>
    <w:p w14:paraId="2C40F9BE" w14:textId="1FF5BEF4" w:rsidR="008C4BEF" w:rsidRDefault="008C4BEF" w:rsidP="00DB4600">
      <w:pPr>
        <w:spacing w:after="420" w:line="240" w:lineRule="auto"/>
        <w:jc w:val="center"/>
        <w:rPr>
          <w:rFonts w:eastAsia="Times New Roman" w:cstheme="minorHAnsi"/>
          <w:i/>
          <w:iCs/>
          <w:noProof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lastRenderedPageBreak/>
        <w:br/>
      </w:r>
      <w:r>
        <w:rPr>
          <w:noProof/>
        </w:rPr>
        <w:drawing>
          <wp:inline distT="0" distB="0" distL="0" distR="0" wp14:anchorId="58128089" wp14:editId="034D79EC">
            <wp:extent cx="1814700" cy="849923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7300" cy="87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5F12" w14:textId="77AE0948" w:rsidR="008C4BEF" w:rsidRDefault="008C4BEF" w:rsidP="00FC4A57">
      <w:pPr>
        <w:spacing w:after="420" w:line="240" w:lineRule="auto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3) IDSM - Sustentabilidade no Mercado: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 Monitoramento da sustentabilidade da operadora, considerando seu equilíbrio econômico-financeiro, passando pela satisfação do beneficiário compromissos com prestadores.</w:t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Abaixo a nota do 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GRUPO SÃO FRANCISCO </w:t>
      </w:r>
      <w:r w:rsidR="00FC4A57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SAÚDE</w:t>
      </w:r>
      <w:r w:rsidR="00FC4A57"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nesta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dimensão:  </w:t>
      </w:r>
    </w:p>
    <w:p w14:paraId="13AEADEB" w14:textId="77777777" w:rsidR="00DB4600" w:rsidRDefault="008C4BEF" w:rsidP="00DB4600">
      <w:pPr>
        <w:spacing w:after="420" w:line="240" w:lineRule="auto"/>
        <w:jc w:val="center"/>
        <w:rPr>
          <w:rFonts w:eastAsia="Times New Roman" w:cstheme="minorHAnsi"/>
          <w:color w:val="4A423C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3FACA96D" wp14:editId="12D9C66A">
            <wp:extent cx="1831848" cy="7632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5137" cy="78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71406" w14:textId="77777777" w:rsidR="00DB4600" w:rsidRDefault="008C4BEF" w:rsidP="00DB4600">
      <w:pPr>
        <w:spacing w:after="420" w:line="240" w:lineRule="auto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 </w:t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b/>
          <w:bCs/>
          <w:color w:val="4A423C"/>
          <w:sz w:val="24"/>
          <w:szCs w:val="24"/>
          <w:lang w:eastAsia="pt-BR"/>
        </w:rPr>
        <w:t>4) IDGR - Gestão de Processos e Regulação:</w:t>
      </w: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 Entre outros indicadores, essa dimensão afere o cumprimento das obrigações técnicas e cadastrais das operadoras junto à ANS.</w:t>
      </w: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br/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Abaixo a nota do </w:t>
      </w:r>
      <w:r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>GRUPO SÃO FRANCISCO SAÚDE</w:t>
      </w: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t xml:space="preserve"> nesta dimensão:  </w:t>
      </w:r>
    </w:p>
    <w:p w14:paraId="6B00AF37" w14:textId="2A8DF89B" w:rsidR="008C4BEF" w:rsidRDefault="008C4BEF" w:rsidP="00DB4600">
      <w:pPr>
        <w:spacing w:after="420" w:line="240" w:lineRule="auto"/>
        <w:jc w:val="center"/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</w:pPr>
      <w:r w:rsidRPr="008C4BEF">
        <w:rPr>
          <w:rFonts w:eastAsia="Times New Roman" w:cstheme="minorHAnsi"/>
          <w:i/>
          <w:iCs/>
          <w:color w:val="4A423C"/>
          <w:sz w:val="24"/>
          <w:szCs w:val="24"/>
          <w:lang w:eastAsia="pt-BR"/>
        </w:rPr>
        <w:br/>
      </w:r>
      <w:r>
        <w:rPr>
          <w:noProof/>
        </w:rPr>
        <w:drawing>
          <wp:inline distT="0" distB="0" distL="0" distR="0" wp14:anchorId="288C8B47" wp14:editId="6BE70244">
            <wp:extent cx="1648149" cy="785446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25796" cy="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ED0A9" w14:textId="77777777" w:rsidR="008C4BEF" w:rsidRPr="008C4BEF" w:rsidRDefault="008C4BEF" w:rsidP="008C4BEF">
      <w:pPr>
        <w:spacing w:after="420" w:line="240" w:lineRule="auto"/>
        <w:rPr>
          <w:rFonts w:eastAsia="Times New Roman" w:cstheme="minorHAnsi"/>
          <w:color w:val="888888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888888"/>
          <w:sz w:val="24"/>
          <w:szCs w:val="24"/>
          <w:lang w:eastAsia="pt-BR"/>
        </w:rPr>
        <w:t> </w:t>
      </w:r>
    </w:p>
    <w:p w14:paraId="2EA7AAA7" w14:textId="35202DD9" w:rsidR="008C4BEF" w:rsidRPr="008C4BEF" w:rsidRDefault="008C4BEF" w:rsidP="008C4BEF">
      <w:pPr>
        <w:spacing w:after="420" w:line="240" w:lineRule="auto"/>
        <w:rPr>
          <w:rFonts w:eastAsia="Times New Roman" w:cstheme="minorHAnsi"/>
          <w:color w:val="FF0000"/>
          <w:sz w:val="24"/>
          <w:szCs w:val="24"/>
          <w:lang w:eastAsia="pt-BR"/>
        </w:rPr>
      </w:pPr>
      <w:r w:rsidRPr="008C4BEF">
        <w:rPr>
          <w:rFonts w:eastAsia="Times New Roman" w:cstheme="minorHAnsi"/>
          <w:color w:val="4A423C"/>
          <w:sz w:val="24"/>
          <w:szCs w:val="24"/>
          <w:lang w:eastAsia="pt-BR"/>
        </w:rPr>
        <w:t>Para saber todos os detalhes sobre a nossa nota do IDS</w:t>
      </w:r>
      <w:r>
        <w:rPr>
          <w:rFonts w:eastAsia="Times New Roman" w:cstheme="minorHAnsi"/>
          <w:color w:val="4A423C"/>
          <w:sz w:val="24"/>
          <w:szCs w:val="24"/>
          <w:lang w:eastAsia="pt-BR"/>
        </w:rPr>
        <w:t xml:space="preserve">S </w:t>
      </w:r>
      <w:r w:rsidR="00DB4600">
        <w:rPr>
          <w:rFonts w:eastAsia="Times New Roman" w:cstheme="minorHAnsi"/>
          <w:color w:val="FF0000"/>
          <w:sz w:val="24"/>
          <w:szCs w:val="24"/>
          <w:lang w:eastAsia="pt-BR"/>
        </w:rPr>
        <w:t>:</w:t>
      </w:r>
      <w:hyperlink r:id="rId10" w:history="1">
        <w:r w:rsidR="00DB4600" w:rsidRPr="00FF59C4">
          <w:rPr>
            <w:rStyle w:val="Hyperlink"/>
          </w:rPr>
          <w:t>http://www.ans.gov.br/planos-de-saude-e-operadoras/informacoes-e-avaliacoes-de-operadoras/qualificacao-ans</w:t>
        </w:r>
      </w:hyperlink>
    </w:p>
    <w:p w14:paraId="34908AE3" w14:textId="77777777" w:rsidR="00DB4600" w:rsidRDefault="00DB4600" w:rsidP="006D6527">
      <w:pPr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</w:pPr>
    </w:p>
    <w:p w14:paraId="5DA5EDB8" w14:textId="77777777" w:rsidR="00DB4600" w:rsidRDefault="00DB4600" w:rsidP="006D6527">
      <w:pPr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</w:pPr>
    </w:p>
    <w:p w14:paraId="54D34896" w14:textId="77777777" w:rsidR="00DB4600" w:rsidRDefault="00DB4600" w:rsidP="006D6527">
      <w:pPr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</w:pPr>
    </w:p>
    <w:p w14:paraId="073E2ED8" w14:textId="77777777" w:rsidR="00DB4600" w:rsidRDefault="00DB4600" w:rsidP="006D6527">
      <w:pPr>
        <w:spacing w:after="150" w:line="240" w:lineRule="auto"/>
        <w:jc w:val="center"/>
        <w:outlineLvl w:val="1"/>
        <w:rPr>
          <w:rFonts w:eastAsia="Times New Roman" w:cstheme="minorHAnsi"/>
          <w:b/>
          <w:bCs/>
          <w:color w:val="333333"/>
          <w:sz w:val="36"/>
          <w:szCs w:val="36"/>
          <w:lang w:eastAsia="pt-BR"/>
        </w:rPr>
      </w:pPr>
    </w:p>
    <w:sectPr w:rsidR="00DB4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EF"/>
    <w:rsid w:val="00161E72"/>
    <w:rsid w:val="00271455"/>
    <w:rsid w:val="002A72F6"/>
    <w:rsid w:val="0054343E"/>
    <w:rsid w:val="006D6527"/>
    <w:rsid w:val="008C4BEF"/>
    <w:rsid w:val="00A02393"/>
    <w:rsid w:val="00B42ADF"/>
    <w:rsid w:val="00D35BAC"/>
    <w:rsid w:val="00DB4600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2D96"/>
  <w15:chartTrackingRefBased/>
  <w15:docId w15:val="{A403F787-F752-411B-8B75-DAA4D465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C4B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C4B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4BEF"/>
    <w:rPr>
      <w:b/>
      <w:bCs/>
    </w:rPr>
  </w:style>
  <w:style w:type="character" w:styleId="nfase">
    <w:name w:val="Emphasis"/>
    <w:basedOn w:val="Fontepargpadro"/>
    <w:uiPriority w:val="20"/>
    <w:qFormat/>
    <w:rsid w:val="008C4BEF"/>
    <w:rPr>
      <w:i/>
      <w:iCs/>
    </w:rPr>
  </w:style>
  <w:style w:type="character" w:styleId="Hyperlink">
    <w:name w:val="Hyperlink"/>
    <w:basedOn w:val="Fontepargpadro"/>
    <w:uiPriority w:val="99"/>
    <w:unhideWhenUsed/>
    <w:rsid w:val="008C4BE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4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ans.gov.br/planos-de-saude-e-operadoras/informacoes-e-avaliacoes-de-operadoras/qualificacao-an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Lopes</dc:creator>
  <cp:keywords/>
  <dc:description/>
  <cp:lastModifiedBy>Ana Carolina Lopes</cp:lastModifiedBy>
  <cp:revision>3</cp:revision>
  <dcterms:created xsi:type="dcterms:W3CDTF">2020-04-30T13:16:00Z</dcterms:created>
  <dcterms:modified xsi:type="dcterms:W3CDTF">2020-04-30T13:17:00Z</dcterms:modified>
</cp:coreProperties>
</file>