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CE86" w14:textId="1FDBDF98" w:rsidR="008C4BEF" w:rsidRPr="008C4BEF" w:rsidRDefault="000D089A" w:rsidP="008C4BEF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  <w:t>IDSS da Operadora 2020 (Ano-base 2019)</w:t>
      </w:r>
    </w:p>
    <w:p w14:paraId="6D71B5AE" w14:textId="02817BFB" w:rsidR="008C4BEF" w:rsidRPr="00DB4600" w:rsidRDefault="006D6527" w:rsidP="00DB4600">
      <w:pPr>
        <w:spacing w:before="300" w:after="30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B4600">
        <w:rPr>
          <w:rFonts w:eastAsia="Times New Roman" w:cstheme="minorHAnsi"/>
          <w:b/>
          <w:bCs/>
          <w:sz w:val="24"/>
          <w:szCs w:val="24"/>
          <w:lang w:eastAsia="pt-BR"/>
        </w:rPr>
        <w:t>SÃO FRANCISCO SISTEMAS DE SAÚDE</w:t>
      </w:r>
    </w:p>
    <w:p w14:paraId="3E53CD98" w14:textId="3F382078" w:rsidR="008C4BEF" w:rsidRDefault="008C4BEF" w:rsidP="008C4BEF">
      <w:pPr>
        <w:spacing w:after="420" w:line="240" w:lineRule="auto"/>
        <w:jc w:val="both"/>
        <w:rPr>
          <w:rFonts w:eastAsia="Times New Roman" w:cstheme="minorHAnsi"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O Índice de Desempenho da Saúde Suplementar (IDSS) faz parte do Programa de Qualificação de Operadoras (PQO) que é uma inciativa desenvolvida pela Agência Nacional de Saúde Suplementar (ANS) para avalição anual do desempenho das operadoras de planos de saúde. O IDSS é um índice composto por um conjunto de indicadores agrupados em quatro dimensões e é calculado com base nos dados extraídos dos sistemas de informações da Agência ou coletados nos sistemas nacionais de informação em saúde.</w:t>
      </w:r>
    </w:p>
    <w:p w14:paraId="67425F40" w14:textId="538595B9" w:rsidR="008C4BEF" w:rsidRPr="008C4BEF" w:rsidRDefault="008C4BEF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6CDBB17" wp14:editId="31FF7B7A">
            <wp:extent cx="2552728" cy="69166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553" cy="703264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2D0983D9" w14:textId="77777777" w:rsidR="00DB4600" w:rsidRDefault="008C4BEF" w:rsidP="00DB4600">
      <w:pPr>
        <w:spacing w:after="420" w:line="240" w:lineRule="auto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Confira abaixo o desempenho do Grupo 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>São Francisco Saúde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 com resultado geral e separado por dimensões: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Resultado geral do IDSS do G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RUPO SÃO FRANCISCO SAÚDE</w:t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 xml:space="preserve">: 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1,000</w:t>
      </w:r>
    </w:p>
    <w:p w14:paraId="0881473B" w14:textId="7B9DEF04" w:rsidR="000D089A" w:rsidRDefault="008C4BEF" w:rsidP="000D089A">
      <w:pPr>
        <w:spacing w:after="420" w:line="240" w:lineRule="auto"/>
        <w:jc w:val="center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>
        <w:rPr>
          <w:noProof/>
        </w:rPr>
        <w:drawing>
          <wp:inline distT="0" distB="0" distL="0" distR="0" wp14:anchorId="2A65EC8E" wp14:editId="2BCA2CAD">
            <wp:extent cx="1982874" cy="65649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962" cy="6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2937" w14:textId="696589B0" w:rsidR="000D089A" w:rsidRDefault="000D089A" w:rsidP="000D089A">
      <w:pPr>
        <w:spacing w:after="420" w:line="240" w:lineRule="auto"/>
        <w:jc w:val="both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Pontuação para operadora acreditada Nível I</w:t>
      </w:r>
    </w:p>
    <w:p w14:paraId="77602057" w14:textId="454C8D50" w:rsidR="000D089A" w:rsidRDefault="000D089A" w:rsidP="000D089A">
      <w:pPr>
        <w:spacing w:after="420" w:line="240" w:lineRule="auto"/>
        <w:jc w:val="center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0D089A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drawing>
          <wp:inline distT="0" distB="0" distL="0" distR="0" wp14:anchorId="24D612C0" wp14:editId="56DCD18D">
            <wp:extent cx="1609725" cy="78334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8231" cy="78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0233" w14:textId="2228F77D" w:rsidR="008C4BEF" w:rsidRDefault="008C4BEF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1) IDQS - Qualidade Em Atenção à Saúde: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Avaliação do conjunto de ações em saúde que contribuem para o atendimento das necessidades de saúde dos beneficiários, com ênfase nas ações de promoção, prevenção e assistência à saúde prestada.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GRUPO SÃO FRANCISCO 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SAÚDE </w:t>
      </w:r>
      <w:r w:rsidR="00DB4600"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dimensão:</w:t>
      </w:r>
    </w:p>
    <w:p w14:paraId="0386F20E" w14:textId="186F29A9" w:rsidR="008C4BEF" w:rsidRPr="008C4BEF" w:rsidRDefault="000D089A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 w:rsidRPr="000D089A">
        <w:rPr>
          <w:rFonts w:eastAsia="Times New Roman" w:cstheme="minorHAnsi"/>
          <w:color w:val="888888"/>
          <w:sz w:val="24"/>
          <w:szCs w:val="24"/>
          <w:lang w:eastAsia="pt-BR"/>
        </w:rPr>
        <w:lastRenderedPageBreak/>
        <w:drawing>
          <wp:inline distT="0" distB="0" distL="0" distR="0" wp14:anchorId="0E82AD5C" wp14:editId="3E0AD168">
            <wp:extent cx="1600200" cy="87352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013"/>
                    <a:stretch/>
                  </pic:blipFill>
                  <pic:spPr bwMode="auto">
                    <a:xfrm>
                      <a:off x="0" y="0"/>
                      <a:ext cx="1615415" cy="881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FF638" w14:textId="77777777" w:rsidR="00DB4600" w:rsidRDefault="008C4BEF" w:rsidP="00FC4A57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2) IDGA - Garantia de Acesso: 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Condições relacionadas à rede assistencial que possibilitam a garantia de acesso, abrangendo a oferta de rede de prestadores.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Abaixo a nota do GRUPO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SÃO FRANCISCO SAÚDE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 dimensão: </w:t>
      </w:r>
    </w:p>
    <w:p w14:paraId="056BECFC" w14:textId="77777777" w:rsidR="000D089A" w:rsidRDefault="008C4BEF" w:rsidP="000D089A">
      <w:pPr>
        <w:spacing w:after="420" w:line="240" w:lineRule="auto"/>
        <w:jc w:val="center"/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 w:rsidR="000D089A" w:rsidRPr="000D089A"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  <w:drawing>
          <wp:inline distT="0" distB="0" distL="0" distR="0" wp14:anchorId="22F9E09E" wp14:editId="7FC68A81">
            <wp:extent cx="1791328" cy="81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003" cy="8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5F12" w14:textId="69E4C15F" w:rsidR="008C4BEF" w:rsidRDefault="008C4BEF" w:rsidP="000D089A">
      <w:pPr>
        <w:spacing w:after="420" w:line="240" w:lineRule="auto"/>
        <w:jc w:val="both"/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3) IDSM - Sustentabilidade no Mercado: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Monitoramento da sustentabilidade da operadora, considerando seu equilíbrio econômico-financeiro, passando pela satisfação do beneficiário compromissos com prestadores.</w:t>
      </w:r>
      <w:r w:rsidR="000D089A">
        <w:rPr>
          <w:rFonts w:eastAsia="Times New Roman" w:cstheme="minorHAnsi"/>
          <w:color w:val="888888"/>
          <w:sz w:val="24"/>
          <w:szCs w:val="24"/>
          <w:lang w:eastAsia="pt-BR"/>
        </w:rPr>
        <w:t xml:space="preserve">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GRUPO SÃO FRANCISCO </w:t>
      </w:r>
      <w:r w:rsidR="00FC4A57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SAÚDE</w:t>
      </w:r>
      <w:r w:rsidR="00FC4A57"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dimensão:  </w:t>
      </w:r>
    </w:p>
    <w:p w14:paraId="383D6664" w14:textId="77777777" w:rsidR="000D089A" w:rsidRDefault="008C4BEF" w:rsidP="000D089A">
      <w:pPr>
        <w:spacing w:after="420" w:line="240" w:lineRule="auto"/>
        <w:jc w:val="center"/>
        <w:rPr>
          <w:rFonts w:eastAsia="Times New Roman" w:cstheme="minorHAnsi"/>
          <w:color w:val="4A423C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3FACA96D" wp14:editId="12D9C66A">
            <wp:extent cx="1831848" cy="763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137" cy="7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71406" w14:textId="07DB378D" w:rsidR="00DB4600" w:rsidRPr="000D089A" w:rsidRDefault="008C4BEF" w:rsidP="000D089A">
      <w:pPr>
        <w:spacing w:after="420" w:line="240" w:lineRule="auto"/>
        <w:jc w:val="both"/>
        <w:rPr>
          <w:rFonts w:eastAsia="Times New Roman" w:cstheme="minorHAnsi"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4) IDGR - Gestão de Processos e Regulação: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Entre outros indicadores, essa dimensão afere o cumprimento das obrigações técnicas e cadastrais das operadoras junto à ANS.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GRUPO SÃO FRANCISCO SAÚDE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 dimensão:  </w:t>
      </w:r>
    </w:p>
    <w:p w14:paraId="144ED0A9" w14:textId="07667A6B" w:rsidR="008C4BEF" w:rsidRPr="000D089A" w:rsidRDefault="008C4BEF" w:rsidP="000D089A">
      <w:pPr>
        <w:spacing w:after="420" w:line="240" w:lineRule="auto"/>
        <w:jc w:val="center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 w:rsidR="000D089A" w:rsidRPr="000D089A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drawing>
          <wp:inline distT="0" distB="0" distL="0" distR="0" wp14:anchorId="34B40E69" wp14:editId="1312DCA3">
            <wp:extent cx="1866900" cy="95193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9811" cy="9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2ED8" w14:textId="37646DB6" w:rsidR="00DB4600" w:rsidRPr="000D089A" w:rsidRDefault="008C4BEF" w:rsidP="000D089A">
      <w:pPr>
        <w:spacing w:after="420" w:line="240" w:lineRule="auto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Para saber todos os detalhes sobre a nossa nota do IDS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 xml:space="preserve">S </w:t>
      </w:r>
      <w:r w:rsidR="00DB4600">
        <w:rPr>
          <w:rFonts w:eastAsia="Times New Roman" w:cstheme="minorHAnsi"/>
          <w:color w:val="FF0000"/>
          <w:sz w:val="24"/>
          <w:szCs w:val="24"/>
          <w:lang w:eastAsia="pt-BR"/>
        </w:rPr>
        <w:t>:</w:t>
      </w:r>
      <w:hyperlink r:id="rId11" w:history="1">
        <w:r w:rsidR="00DB4600" w:rsidRPr="00FF59C4">
          <w:rPr>
            <w:rStyle w:val="Hyperlink"/>
          </w:rPr>
          <w:t>http://www.ans.gov.br/planos-de-saude-e-operadoras/informacoes-e-avaliacoes-de-operadoras/qualificacao-ans</w:t>
        </w:r>
      </w:hyperlink>
    </w:p>
    <w:sectPr w:rsidR="00DB4600" w:rsidRPr="000D0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EF"/>
    <w:rsid w:val="000D089A"/>
    <w:rsid w:val="00161E72"/>
    <w:rsid w:val="00271455"/>
    <w:rsid w:val="002A72F6"/>
    <w:rsid w:val="0054343E"/>
    <w:rsid w:val="006D6527"/>
    <w:rsid w:val="008C4BEF"/>
    <w:rsid w:val="00A02393"/>
    <w:rsid w:val="00B42ADF"/>
    <w:rsid w:val="00D35BAC"/>
    <w:rsid w:val="00DB4600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2D96"/>
  <w15:chartTrackingRefBased/>
  <w15:docId w15:val="{A403F787-F752-411B-8B75-DAA4D46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4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4B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BEF"/>
    <w:rPr>
      <w:b/>
      <w:bCs/>
    </w:rPr>
  </w:style>
  <w:style w:type="character" w:styleId="nfase">
    <w:name w:val="Emphasis"/>
    <w:basedOn w:val="Fontepargpadro"/>
    <w:uiPriority w:val="20"/>
    <w:qFormat/>
    <w:rsid w:val="008C4BEF"/>
    <w:rPr>
      <w:i/>
      <w:iCs/>
    </w:rPr>
  </w:style>
  <w:style w:type="character" w:styleId="Hyperlink">
    <w:name w:val="Hyperlink"/>
    <w:basedOn w:val="Fontepargpadro"/>
    <w:uiPriority w:val="99"/>
    <w:unhideWhenUsed/>
    <w:rsid w:val="008C4BE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ns.gov.br/planos-de-saude-e-operadoras/informacoes-e-avaliacoes-de-operadoras/qualificacao-an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Lopes</dc:creator>
  <cp:keywords/>
  <dc:description/>
  <cp:lastModifiedBy>Maira Luana de Souza</cp:lastModifiedBy>
  <cp:revision>2</cp:revision>
  <dcterms:created xsi:type="dcterms:W3CDTF">2021-04-13T12:03:00Z</dcterms:created>
  <dcterms:modified xsi:type="dcterms:W3CDTF">2021-04-13T12:03:00Z</dcterms:modified>
</cp:coreProperties>
</file>